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045C0" w14:textId="40C342CD" w:rsidR="00EB0F6D" w:rsidRPr="00EB0F6D" w:rsidRDefault="00EB0F6D" w:rsidP="00EB0F6D">
      <w:pPr>
        <w:spacing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B0F6D">
        <w:rPr>
          <w:rFonts w:ascii="Times New Roman" w:hAnsi="Times New Roman" w:cs="Times New Roman"/>
          <w:b/>
          <w:sz w:val="30"/>
          <w:szCs w:val="30"/>
        </w:rPr>
        <w:t>КОММЕНТАРИЙ</w:t>
      </w:r>
    </w:p>
    <w:p w14:paraId="0B009C70" w14:textId="29117E41" w:rsidR="00EB0F6D" w:rsidRPr="00EB0F6D" w:rsidRDefault="00EB0F6D" w:rsidP="00EB0F6D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B0F6D">
        <w:rPr>
          <w:rFonts w:ascii="Times New Roman" w:hAnsi="Times New Roman" w:cs="Times New Roman"/>
          <w:bCs/>
          <w:sz w:val="30"/>
          <w:szCs w:val="30"/>
        </w:rPr>
        <w:t>к Закону Республики Беларусь от 13</w:t>
      </w:r>
      <w:r w:rsidR="00977CE0">
        <w:rPr>
          <w:rFonts w:ascii="Times New Roman" w:hAnsi="Times New Roman" w:cs="Times New Roman"/>
          <w:bCs/>
          <w:sz w:val="30"/>
          <w:szCs w:val="30"/>
        </w:rPr>
        <w:t xml:space="preserve"> декабря </w:t>
      </w:r>
      <w:r w:rsidRPr="00EB0F6D">
        <w:rPr>
          <w:rFonts w:ascii="Times New Roman" w:hAnsi="Times New Roman" w:cs="Times New Roman"/>
          <w:bCs/>
          <w:sz w:val="30"/>
          <w:szCs w:val="30"/>
        </w:rPr>
        <w:t xml:space="preserve">2024 г. № 47-З </w:t>
      </w:r>
    </w:p>
    <w:p w14:paraId="317E2551" w14:textId="77777777" w:rsidR="00EB0F6D" w:rsidRPr="00EB0F6D" w:rsidRDefault="00EB0F6D" w:rsidP="00EB0F6D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B0F6D">
        <w:rPr>
          <w:rFonts w:ascii="Times New Roman" w:hAnsi="Times New Roman" w:cs="Times New Roman"/>
          <w:bCs/>
          <w:sz w:val="30"/>
          <w:szCs w:val="30"/>
        </w:rPr>
        <w:t>«Об изменении законов»</w:t>
      </w:r>
    </w:p>
    <w:p w14:paraId="754E71EE" w14:textId="77777777" w:rsidR="00B642DC" w:rsidRDefault="00EB0F6D" w:rsidP="00EB0F6D">
      <w:pPr>
        <w:spacing w:after="0" w:line="280" w:lineRule="exact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EB0F6D">
        <w:rPr>
          <w:rFonts w:ascii="Times New Roman" w:hAnsi="Times New Roman" w:cs="Times New Roman"/>
          <w:bCs/>
          <w:iCs/>
          <w:sz w:val="30"/>
          <w:szCs w:val="30"/>
        </w:rPr>
        <w:t>(</w:t>
      </w:r>
      <w:r w:rsidR="00B642DC">
        <w:rPr>
          <w:rFonts w:ascii="Times New Roman" w:hAnsi="Times New Roman" w:cs="Times New Roman"/>
          <w:bCs/>
          <w:iCs/>
          <w:sz w:val="30"/>
          <w:szCs w:val="30"/>
        </w:rPr>
        <w:t xml:space="preserve">порядок проведения </w:t>
      </w:r>
      <w:r>
        <w:rPr>
          <w:rFonts w:ascii="Times New Roman" w:hAnsi="Times New Roman" w:cs="Times New Roman"/>
          <w:bCs/>
          <w:iCs/>
          <w:sz w:val="30"/>
          <w:szCs w:val="30"/>
        </w:rPr>
        <w:t>камеральн</w:t>
      </w:r>
      <w:r w:rsidR="00B642DC">
        <w:rPr>
          <w:rFonts w:ascii="Times New Roman" w:hAnsi="Times New Roman" w:cs="Times New Roman"/>
          <w:bCs/>
          <w:iCs/>
          <w:sz w:val="30"/>
          <w:szCs w:val="30"/>
        </w:rPr>
        <w:t>ой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проверк</w:t>
      </w:r>
      <w:r w:rsidR="00B642DC">
        <w:rPr>
          <w:rFonts w:ascii="Times New Roman" w:hAnsi="Times New Roman" w:cs="Times New Roman"/>
          <w:bCs/>
          <w:iCs/>
          <w:sz w:val="30"/>
          <w:szCs w:val="30"/>
        </w:rPr>
        <w:t>и</w:t>
      </w:r>
    </w:p>
    <w:p w14:paraId="4F6A69D8" w14:textId="1F2548B3" w:rsidR="00EB0F6D" w:rsidRDefault="00EB0F6D" w:rsidP="00EB0F6D">
      <w:pPr>
        <w:spacing w:after="0" w:line="280" w:lineRule="exact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829D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соответствия расходов</w:t>
      </w:r>
      <w:r w:rsidR="00B642DC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6829D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доходам физического лица</w:t>
      </w:r>
      <w:r w:rsidRPr="00EB0F6D">
        <w:rPr>
          <w:rFonts w:ascii="Times New Roman" w:hAnsi="Times New Roman" w:cs="Times New Roman"/>
          <w:bCs/>
          <w:iCs/>
          <w:sz w:val="30"/>
          <w:szCs w:val="30"/>
        </w:rPr>
        <w:t>)</w:t>
      </w:r>
    </w:p>
    <w:p w14:paraId="5924012C" w14:textId="77777777" w:rsidR="00EB0F6D" w:rsidRPr="00EB0F6D" w:rsidRDefault="00EB0F6D" w:rsidP="00EB0F6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14:paraId="53E067F7" w14:textId="0B84FD3E" w:rsidR="006829D5" w:rsidRPr="006829D5" w:rsidRDefault="006829D5" w:rsidP="00682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6829D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Наиболее существенными изменениями и дополнениями в части порядка проведения в 202</w:t>
      </w:r>
      <w:r w:rsidRPr="00D006D7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5</w:t>
      </w:r>
      <w:r w:rsidRPr="006829D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г</w:t>
      </w:r>
      <w:r w:rsidR="00977CE0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.</w:t>
      </w:r>
      <w:r w:rsidRPr="006829D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камеральной проверки соответствия расходов доходам физического лица (далее – проверка) являются следующие.</w:t>
      </w:r>
    </w:p>
    <w:p w14:paraId="5A5ABB95" w14:textId="2B09CF97" w:rsidR="006829D5" w:rsidRPr="00D006D7" w:rsidRDefault="00977CE0" w:rsidP="00682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Согласно</w:t>
      </w:r>
      <w:r w:rsidR="00235156" w:rsidRPr="00C37AB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к</w:t>
      </w:r>
      <w:r w:rsidR="006829D5" w:rsidRPr="00C37AB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орректировк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е</w:t>
      </w:r>
      <w:r w:rsidR="006829D5" w:rsidRPr="00C37AB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части второй пункта 6 статьи 73</w:t>
      </w:r>
      <w:r w:rsidR="006829D5" w:rsidRPr="00C37AB9"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  <w:lang w:eastAsia="ru-RU"/>
          <w14:ligatures w14:val="none"/>
        </w:rPr>
        <w:t>1</w:t>
      </w:r>
      <w:r w:rsidR="006829D5" w:rsidRPr="00C37AB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 w:rsidR="00C37AB9" w:rsidRPr="00C37AB9">
        <w:rPr>
          <w:rFonts w:ascii="Times New Roman" w:hAnsi="Times New Roman" w:cs="Times New Roman"/>
          <w:sz w:val="30"/>
          <w:szCs w:val="30"/>
        </w:rPr>
        <w:t xml:space="preserve">Налогового кодекса Республики Беларусь (далее — НК) </w:t>
      </w:r>
      <w:r w:rsidR="006829D5" w:rsidRPr="00C37AB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налоговы</w:t>
      </w:r>
      <w:r w:rsidR="00235156" w:rsidRPr="00C37AB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е</w:t>
      </w:r>
      <w:r w:rsidR="006829D5" w:rsidRPr="00C37AB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орган</w:t>
      </w:r>
      <w:r w:rsidR="00235156" w:rsidRPr="00C37AB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ы</w:t>
      </w:r>
      <w:r w:rsidR="006829D5" w:rsidRPr="00C37AB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на предварительном этапе проверки </w:t>
      </w:r>
      <w:r w:rsidR="00235156" w:rsidRPr="00C37AB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смогут</w:t>
      </w:r>
      <w:r w:rsidR="004931FC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 w:rsidR="006829D5" w:rsidRPr="00C37AB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не учитывать в качестве источника </w:t>
      </w:r>
      <w:r w:rsidR="0085491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для осуществления расходов </w:t>
      </w:r>
      <w:r w:rsidR="006829D5" w:rsidRPr="00C37AB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доходы, в отношении</w:t>
      </w:r>
      <w:r w:rsidR="006829D5" w:rsidRPr="00D006D7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которых собрана соответствующая доказательная база</w:t>
      </w:r>
      <w:r w:rsidR="001C2D5A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(достоверность сведений </w:t>
      </w:r>
      <w:r w:rsidR="005B7372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о доходах не подтверждена</w:t>
      </w:r>
      <w:r w:rsidR="001C2D5A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)</w:t>
      </w:r>
      <w:r w:rsidR="006829D5" w:rsidRPr="00D006D7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</w:t>
      </w:r>
    </w:p>
    <w:p w14:paraId="57B1E92E" w14:textId="0C02C097" w:rsidR="006829D5" w:rsidRPr="00D006D7" w:rsidRDefault="00977CE0" w:rsidP="00682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Исходя из </w:t>
      </w:r>
      <w:r w:rsidR="006829D5" w:rsidRPr="00D006D7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дополнени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й</w:t>
      </w:r>
      <w:r w:rsidR="006829D5" w:rsidRPr="00D006D7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части </w:t>
      </w:r>
      <w:r w:rsidR="006829D5" w:rsidRPr="006829D5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четверт</w:t>
      </w:r>
      <w:r w:rsidR="006829D5" w:rsidRPr="00D006D7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ой</w:t>
      </w:r>
      <w:r w:rsidR="006829D5" w:rsidRPr="006829D5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пункта 11 статьи 73</w:t>
      </w:r>
      <w:r w:rsidR="006829D5" w:rsidRPr="006829D5"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  <w:lang w:eastAsia="ru-RU"/>
          <w14:ligatures w14:val="none"/>
        </w:rPr>
        <w:t>1</w:t>
      </w:r>
      <w:r w:rsidR="006829D5" w:rsidRPr="006829D5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 w:rsidR="00C37AB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НК</w:t>
      </w:r>
      <w:r w:rsidR="006829D5" w:rsidRPr="00D006D7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в пояснениях об источниках доходов не требуется </w:t>
      </w:r>
      <w:r w:rsidR="00235156" w:rsidRPr="00D006D7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указание сведений о фамилии, собственном имени, отчестве, месте жительства физического лица, являющегося источником дохода в отношении доходов, полученных от </w:t>
      </w:r>
      <w:r w:rsidR="00235156" w:rsidRPr="00D006D7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осуществления видов деятельности, признаваемых объектом налогообложения налогом на профессиональный доход.</w:t>
      </w:r>
    </w:p>
    <w:p w14:paraId="7F3AE945" w14:textId="2BD267E9" w:rsidR="00593145" w:rsidRPr="00D006D7" w:rsidRDefault="00593145" w:rsidP="0059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D006D7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Корректировка </w:t>
      </w:r>
      <w:r w:rsidRPr="006829D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част</w:t>
      </w:r>
      <w:r w:rsidRPr="00D006D7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и</w:t>
      </w:r>
      <w:r w:rsidRPr="006829D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перв</w:t>
      </w:r>
      <w:r w:rsidRPr="00D006D7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ой</w:t>
      </w:r>
      <w:r w:rsidRPr="006829D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пункта 18 статьи 73</w:t>
      </w:r>
      <w:r w:rsidRPr="006829D5">
        <w:rPr>
          <w:rFonts w:ascii="Times New Roman" w:eastAsia="Calibri" w:hAnsi="Times New Roman" w:cs="Times New Roman"/>
          <w:kern w:val="0"/>
          <w:sz w:val="30"/>
          <w:szCs w:val="30"/>
          <w:vertAlign w:val="superscript"/>
          <w14:ligatures w14:val="none"/>
        </w:rPr>
        <w:t>1</w:t>
      </w:r>
      <w:r w:rsidRPr="00D006D7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  <w:r w:rsidR="00C348AF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НК</w:t>
      </w:r>
      <w:r w:rsidRPr="00D006D7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изменяет порядок </w:t>
      </w:r>
      <w:r w:rsidRPr="006829D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отсчет</w:t>
      </w:r>
      <w:r w:rsidRPr="00D006D7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а</w:t>
      </w:r>
      <w:r w:rsidRPr="006829D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срока составления акта проверки </w:t>
      </w:r>
      <w:r w:rsidRPr="00D006D7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в случае </w:t>
      </w:r>
      <w:r w:rsidRPr="006829D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направлени</w:t>
      </w:r>
      <w:r w:rsidRPr="00D006D7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я проверяемому лицу </w:t>
      </w:r>
      <w:r w:rsidRPr="006829D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требования </w:t>
      </w:r>
      <w:r w:rsidRPr="00D006D7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о предоставлении источников доходов </w:t>
      </w:r>
      <w:r w:rsidRPr="006829D5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по расходам</w:t>
      </w:r>
      <w:r w:rsidRPr="00D006D7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, в отношении которых ранее такое требование не направлялось</w:t>
      </w:r>
      <w:r w:rsidR="006704C2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(</w:t>
      </w:r>
      <w:r w:rsidRPr="00D006D7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акт проверки должен быть составлен не позднее трех месяцев со дня, следующего за днем истечения срока, установленного для представления пояснений об источниках доходов по требованию</w:t>
      </w:r>
      <w:r w:rsidR="00D006D7" w:rsidRPr="00D006D7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в отношении «новых расходов»</w:t>
      </w:r>
      <w:r w:rsidR="006704C2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)</w:t>
      </w:r>
      <w:r w:rsidR="00D006D7" w:rsidRPr="00D006D7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.</w:t>
      </w:r>
    </w:p>
    <w:sectPr w:rsidR="00593145" w:rsidRPr="00D0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72375" w14:textId="77777777" w:rsidR="00732317" w:rsidRDefault="00732317" w:rsidP="00F75DC7">
      <w:pPr>
        <w:spacing w:after="0" w:line="240" w:lineRule="auto"/>
      </w:pPr>
      <w:r>
        <w:separator/>
      </w:r>
    </w:p>
  </w:endnote>
  <w:endnote w:type="continuationSeparator" w:id="0">
    <w:p w14:paraId="5CBB0607" w14:textId="77777777" w:rsidR="00732317" w:rsidRDefault="00732317" w:rsidP="00F7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FA6BB" w14:textId="77777777" w:rsidR="00732317" w:rsidRDefault="00732317" w:rsidP="00F75DC7">
      <w:pPr>
        <w:spacing w:after="0" w:line="240" w:lineRule="auto"/>
      </w:pPr>
      <w:r>
        <w:separator/>
      </w:r>
    </w:p>
  </w:footnote>
  <w:footnote w:type="continuationSeparator" w:id="0">
    <w:p w14:paraId="5CCC6D0D" w14:textId="77777777" w:rsidR="00732317" w:rsidRDefault="00732317" w:rsidP="00F75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D5"/>
    <w:rsid w:val="001A7680"/>
    <w:rsid w:val="001C2D5A"/>
    <w:rsid w:val="00235156"/>
    <w:rsid w:val="002F623C"/>
    <w:rsid w:val="003258DA"/>
    <w:rsid w:val="0034548E"/>
    <w:rsid w:val="003F6330"/>
    <w:rsid w:val="004931FC"/>
    <w:rsid w:val="00593145"/>
    <w:rsid w:val="005B7372"/>
    <w:rsid w:val="006704C2"/>
    <w:rsid w:val="00681E71"/>
    <w:rsid w:val="006829D5"/>
    <w:rsid w:val="00732317"/>
    <w:rsid w:val="00775870"/>
    <w:rsid w:val="007A0A3B"/>
    <w:rsid w:val="007F2858"/>
    <w:rsid w:val="00854914"/>
    <w:rsid w:val="00873A1A"/>
    <w:rsid w:val="008B3939"/>
    <w:rsid w:val="009549B1"/>
    <w:rsid w:val="009712B4"/>
    <w:rsid w:val="00977CE0"/>
    <w:rsid w:val="00A03122"/>
    <w:rsid w:val="00B642DC"/>
    <w:rsid w:val="00B73D56"/>
    <w:rsid w:val="00C10E68"/>
    <w:rsid w:val="00C348AF"/>
    <w:rsid w:val="00C37AB9"/>
    <w:rsid w:val="00CF5690"/>
    <w:rsid w:val="00D006D7"/>
    <w:rsid w:val="00D0611A"/>
    <w:rsid w:val="00EA3D02"/>
    <w:rsid w:val="00EB0F6D"/>
    <w:rsid w:val="00F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5CD0"/>
  <w15:chartTrackingRefBased/>
  <w15:docId w15:val="{4C4CFD2D-5A89-4D9F-A4F2-9829A871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D0611A"/>
    <w:rPr>
      <w:b/>
      <w:bCs/>
      <w:sz w:val="30"/>
    </w:rPr>
  </w:style>
  <w:style w:type="paragraph" w:customStyle="1" w:styleId="2">
    <w:name w:val="Стиль2"/>
    <w:basedOn w:val="a"/>
    <w:qFormat/>
    <w:rsid w:val="00D0611A"/>
  </w:style>
  <w:style w:type="paragraph" w:styleId="a3">
    <w:name w:val="header"/>
    <w:basedOn w:val="a"/>
    <w:link w:val="a4"/>
    <w:uiPriority w:val="99"/>
    <w:rsid w:val="009549B1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549B1"/>
    <w:rPr>
      <w:rFonts w:eastAsia="Times New Roman"/>
      <w:kern w:val="0"/>
      <w:sz w:val="30"/>
      <w:szCs w:val="24"/>
      <w:lang w:val="x-none" w:eastAsia="x-none"/>
      <w14:ligatures w14:val="none"/>
    </w:rPr>
  </w:style>
  <w:style w:type="character" w:styleId="a5">
    <w:name w:val="page number"/>
    <w:basedOn w:val="a0"/>
    <w:rsid w:val="009549B1"/>
  </w:style>
  <w:style w:type="paragraph" w:styleId="a6">
    <w:name w:val="Balloon Text"/>
    <w:basedOn w:val="a"/>
    <w:link w:val="a7"/>
    <w:uiPriority w:val="99"/>
    <w:semiHidden/>
    <w:unhideWhenUsed/>
    <w:rsid w:val="009549B1"/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9B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8">
    <w:name w:val="Table Grid"/>
    <w:basedOn w:val="a1"/>
    <w:uiPriority w:val="59"/>
    <w:rsid w:val="009549B1"/>
    <w:pPr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F75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Липай Татьяна Анатольевна</dc:creator>
  <cp:keywords/>
  <dc:description/>
  <cp:lastModifiedBy>Ширибало Алина Николаевна</cp:lastModifiedBy>
  <cp:revision>5</cp:revision>
  <dcterms:created xsi:type="dcterms:W3CDTF">2024-12-30T07:21:00Z</dcterms:created>
  <dcterms:modified xsi:type="dcterms:W3CDTF">2024-12-30T11:07:00Z</dcterms:modified>
</cp:coreProperties>
</file>